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855A9" w14:textId="6F4DA8FC" w:rsidR="00DF6CB8" w:rsidRDefault="00DF6CB8" w:rsidP="00DF6CB8">
      <w:pPr>
        <w:rPr>
          <w:rFonts w:ascii="Times New Roman" w:hAnsi="Times New Roman" w:cs="Times New Roman"/>
          <w:b/>
          <w:color w:val="FF0000"/>
          <w:sz w:val="24"/>
          <w:szCs w:val="24"/>
          <w:u w:val="single"/>
        </w:rPr>
      </w:pPr>
      <w:r w:rsidRPr="00DF6CB8">
        <w:rPr>
          <w:rFonts w:ascii="Times New Roman" w:hAnsi="Times New Roman" w:cs="Times New Roman"/>
          <w:b/>
          <w:color w:val="FF0000"/>
          <w:sz w:val="24"/>
          <w:szCs w:val="24"/>
        </w:rPr>
        <w:t xml:space="preserve">Each response should be a 1 single space typed summary, personal reflections and critique future research/unanswered questions, which should be </w:t>
      </w:r>
      <w:r w:rsidRPr="00DF6CB8">
        <w:rPr>
          <w:rFonts w:ascii="Times New Roman" w:hAnsi="Times New Roman" w:cs="Times New Roman"/>
          <w:b/>
          <w:color w:val="FF0000"/>
          <w:sz w:val="24"/>
          <w:szCs w:val="24"/>
          <w:u w:val="single"/>
        </w:rPr>
        <w:t>follow the rubric(pl</w:t>
      </w:r>
      <w:r w:rsidR="00EE1725">
        <w:rPr>
          <w:rFonts w:ascii="Times New Roman" w:hAnsi="Times New Roman" w:cs="Times New Roman"/>
          <w:b/>
          <w:color w:val="FF0000"/>
          <w:sz w:val="24"/>
          <w:szCs w:val="24"/>
          <w:u w:val="single"/>
        </w:rPr>
        <w:t>ease!</w:t>
      </w:r>
      <w:bookmarkStart w:id="0" w:name="_GoBack"/>
      <w:bookmarkEnd w:id="0"/>
      <w:r w:rsidRPr="00DF6CB8">
        <w:rPr>
          <w:rFonts w:ascii="Times New Roman" w:hAnsi="Times New Roman" w:cs="Times New Roman"/>
          <w:b/>
          <w:color w:val="FF0000"/>
          <w:sz w:val="24"/>
          <w:szCs w:val="24"/>
          <w:u w:val="single"/>
        </w:rPr>
        <w:t>)</w:t>
      </w:r>
    </w:p>
    <w:p w14:paraId="7C5DD76E" w14:textId="037AD96E" w:rsidR="00EE1725" w:rsidRPr="00DF6CB8" w:rsidRDefault="00EE1725" w:rsidP="00DF6CB8">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Critique is asking what could have been done better in the article? What problems do you see? What questions do you have? </w:t>
      </w:r>
    </w:p>
    <w:p w14:paraId="384EF4F2" w14:textId="77777777" w:rsidR="00DF6CB8" w:rsidRDefault="00DF6CB8" w:rsidP="00DF6CB8">
      <w:pPr>
        <w:rPr>
          <w:rFonts w:ascii="Times New Roman" w:hAnsi="Times New Roman" w:cs="Times New Roman"/>
          <w:b/>
          <w:sz w:val="24"/>
          <w:szCs w:val="24"/>
        </w:rPr>
      </w:pPr>
    </w:p>
    <w:p w14:paraId="331EC810" w14:textId="1004644B" w:rsidR="00AA119B" w:rsidRPr="00137E3C" w:rsidRDefault="00DF6CB8" w:rsidP="00AA119B">
      <w:pPr>
        <w:jc w:val="center"/>
        <w:rPr>
          <w:rFonts w:ascii="Times New Roman" w:hAnsi="Times New Roman" w:cs="Times New Roman"/>
          <w:b/>
          <w:sz w:val="24"/>
          <w:szCs w:val="24"/>
        </w:rPr>
      </w:pPr>
      <w:r>
        <w:rPr>
          <w:rFonts w:ascii="Times New Roman" w:hAnsi="Times New Roman" w:cs="Times New Roman"/>
          <w:b/>
          <w:sz w:val="24"/>
          <w:szCs w:val="24"/>
        </w:rPr>
        <w:t>Response 1-</w:t>
      </w:r>
      <w:r w:rsidR="00AA119B">
        <w:rPr>
          <w:rFonts w:ascii="Times New Roman" w:hAnsi="Times New Roman" w:cs="Times New Roman"/>
          <w:b/>
          <w:sz w:val="24"/>
          <w:szCs w:val="24"/>
        </w:rPr>
        <w:t xml:space="preserve">Demer: </w:t>
      </w:r>
      <w:r w:rsidR="00AA119B" w:rsidRPr="00137E3C">
        <w:rPr>
          <w:rFonts w:ascii="Times New Roman" w:hAnsi="Times New Roman" w:cs="Times New Roman"/>
          <w:b/>
          <w:sz w:val="24"/>
          <w:szCs w:val="24"/>
        </w:rPr>
        <w:t>Parent-infant co-viewing of videos</w:t>
      </w:r>
    </w:p>
    <w:p w14:paraId="3EEDD97E" w14:textId="77777777" w:rsidR="00AA119B" w:rsidRDefault="00AA119B" w:rsidP="00AA119B">
      <w:pPr>
        <w:ind w:firstLine="720"/>
        <w:rPr>
          <w:rFonts w:ascii="Times New Roman" w:hAnsi="Times New Roman" w:cs="Times New Roman"/>
          <w:sz w:val="24"/>
          <w:szCs w:val="24"/>
        </w:rPr>
      </w:pPr>
      <w:r w:rsidRPr="00415DBB">
        <w:rPr>
          <w:rFonts w:ascii="Times New Roman" w:hAnsi="Times New Roman" w:cs="Times New Roman"/>
          <w:sz w:val="24"/>
          <w:szCs w:val="24"/>
        </w:rPr>
        <w:t>Over the years, the use of television has increased tremendously. This integration of media in homes has influenced the development of children and has created relationship how regular children watch television and their parents watch. Prior research has shown that children of up to 2 years watch the television for about 2 hours a day. During these hours, children follow parents gaze to the television. Children under the age of two years pay little attention to the television, and that is the reason they follow their parents. It has been argued that contemporary children can start showing consistency in watching television at the age of 1 year. Children at this age do not learn more from screen media than they do in real-life displays. It has been argued that the early attention of a child to television is due to perceptual salience of features of television. For example, character actions and sound effects. This aspect continues to fade as the child grows, and at the age of 2 years, the child begins to rely on content comprehension. These early theories have a limitation in that they mainly pay attention to the cognitive influence of media and fail to show how media influence other aspects of child development. The present research on infant gaze aimed at showing how infants of 12-15 months compare to infants of 18-21 months. The results of this research show that older infants of age 18-21 months respond quickly to parent gaze to television than younger infants. This is because the older infants are less distracted by an external object as compared to their younger counterparts.</w:t>
      </w:r>
    </w:p>
    <w:p w14:paraId="61CDE6DE" w14:textId="77777777" w:rsidR="00AA119B" w:rsidRDefault="00AA119B" w:rsidP="00AA119B">
      <w:pPr>
        <w:rPr>
          <w:rFonts w:ascii="Times New Roman" w:hAnsi="Times New Roman" w:cs="Times New Roman"/>
          <w:b/>
          <w:sz w:val="24"/>
          <w:szCs w:val="24"/>
        </w:rPr>
      </w:pPr>
    </w:p>
    <w:p w14:paraId="7499AF25" w14:textId="4395D82B" w:rsidR="00AA119B" w:rsidRPr="00566E59" w:rsidRDefault="00DF6CB8" w:rsidP="00AA119B">
      <w:pPr>
        <w:rPr>
          <w:rFonts w:ascii="Times New Roman" w:hAnsi="Times New Roman" w:cs="Times New Roman"/>
          <w:b/>
          <w:sz w:val="24"/>
          <w:szCs w:val="24"/>
        </w:rPr>
      </w:pPr>
      <w:r>
        <w:rPr>
          <w:rFonts w:ascii="Times New Roman" w:hAnsi="Times New Roman" w:cs="Times New Roman"/>
          <w:b/>
          <w:sz w:val="24"/>
          <w:szCs w:val="24"/>
        </w:rPr>
        <w:t xml:space="preserve">Response </w:t>
      </w:r>
      <w:proofErr w:type="gramStart"/>
      <w:r>
        <w:rPr>
          <w:rFonts w:ascii="Times New Roman" w:hAnsi="Times New Roman" w:cs="Times New Roman"/>
          <w:b/>
          <w:sz w:val="24"/>
          <w:szCs w:val="24"/>
        </w:rPr>
        <w:t>2:</w:t>
      </w:r>
      <w:r w:rsidR="00AA119B" w:rsidRPr="00566E59">
        <w:rPr>
          <w:rFonts w:ascii="Times New Roman" w:hAnsi="Times New Roman" w:cs="Times New Roman"/>
          <w:b/>
          <w:sz w:val="24"/>
          <w:szCs w:val="24"/>
        </w:rPr>
        <w:t>Recchia</w:t>
      </w:r>
      <w:proofErr w:type="gramEnd"/>
      <w:r w:rsidR="00AA119B" w:rsidRPr="00566E59">
        <w:rPr>
          <w:rFonts w:ascii="Times New Roman" w:hAnsi="Times New Roman" w:cs="Times New Roman"/>
          <w:b/>
          <w:sz w:val="24"/>
          <w:szCs w:val="24"/>
        </w:rPr>
        <w:t>: Children’s and Adolescents’ Narrative Accounts of Harming Their Friends and Siblings</w:t>
      </w:r>
    </w:p>
    <w:p w14:paraId="46E12649" w14:textId="77777777" w:rsidR="00AA119B" w:rsidRPr="00566E59" w:rsidRDefault="00AA119B" w:rsidP="00AA119B">
      <w:pPr>
        <w:ind w:firstLine="720"/>
        <w:rPr>
          <w:rFonts w:ascii="Times New Roman" w:hAnsi="Times New Roman" w:cs="Times New Roman"/>
          <w:sz w:val="24"/>
          <w:szCs w:val="24"/>
        </w:rPr>
      </w:pPr>
      <w:r w:rsidRPr="00566E59">
        <w:rPr>
          <w:rFonts w:ascii="Times New Roman" w:hAnsi="Times New Roman" w:cs="Times New Roman"/>
          <w:sz w:val="24"/>
          <w:szCs w:val="24"/>
        </w:rPr>
        <w:t xml:space="preserve">The purpose of this study by Holly </w:t>
      </w:r>
      <w:proofErr w:type="spellStart"/>
      <w:r w:rsidRPr="00566E59">
        <w:rPr>
          <w:rFonts w:ascii="Times New Roman" w:hAnsi="Times New Roman" w:cs="Times New Roman"/>
          <w:sz w:val="24"/>
          <w:szCs w:val="24"/>
        </w:rPr>
        <w:t>Recchia</w:t>
      </w:r>
      <w:proofErr w:type="spellEnd"/>
      <w:r w:rsidRPr="00566E59">
        <w:rPr>
          <w:rFonts w:ascii="Times New Roman" w:hAnsi="Times New Roman" w:cs="Times New Roman"/>
          <w:sz w:val="24"/>
          <w:szCs w:val="24"/>
        </w:rPr>
        <w:t xml:space="preserve"> was to investigate the differences in children's and adolescents' experiences of causing harm to their friends and siblings. The study aimed at examining the features of 7 to 16-year-olds' accounts of harming their siblings and friends. The study proposes that how adolescents make sense of their experiences of harming peers may be different depending on the interpersonal relationship in which it occurs. </w:t>
      </w:r>
    </w:p>
    <w:p w14:paraId="4686A47F" w14:textId="77777777" w:rsidR="00AA119B" w:rsidRPr="00566E59" w:rsidRDefault="00AA119B" w:rsidP="00AA119B">
      <w:pPr>
        <w:ind w:firstLine="720"/>
        <w:rPr>
          <w:rFonts w:ascii="Times New Roman" w:hAnsi="Times New Roman" w:cs="Times New Roman"/>
          <w:sz w:val="24"/>
          <w:szCs w:val="24"/>
        </w:rPr>
      </w:pPr>
      <w:r w:rsidRPr="00566E59">
        <w:rPr>
          <w:rFonts w:ascii="Times New Roman" w:hAnsi="Times New Roman" w:cs="Times New Roman"/>
          <w:sz w:val="24"/>
          <w:szCs w:val="24"/>
        </w:rPr>
        <w:t>Participants of the study were recruited through advertisement in schools, community centers, and daycares. Children eligible for the study were those who had a younger sibling, and the difference in age between the two had to be less than four years. A sample of 101 participants, among them, 34 were seven years old, 33 were 11 years of age, and 34 had an age of 16. Data was collected through interviews (asking the children questions). Harm against a friend described, as usual, unforeseeable and circumstantial. On the other hand, harm against siblings was described as ruthless, provoked, angry, and typical.</w:t>
      </w:r>
    </w:p>
    <w:p w14:paraId="0B7DEF2B" w14:textId="1A9FB432" w:rsidR="00AA119B" w:rsidRDefault="00AA119B" w:rsidP="00AA119B">
      <w:pPr>
        <w:ind w:firstLine="720"/>
        <w:rPr>
          <w:rFonts w:ascii="Times New Roman" w:hAnsi="Times New Roman" w:cs="Times New Roman"/>
          <w:sz w:val="24"/>
          <w:szCs w:val="24"/>
        </w:rPr>
      </w:pPr>
      <w:r w:rsidRPr="00566E59">
        <w:rPr>
          <w:rFonts w:ascii="Times New Roman" w:hAnsi="Times New Roman" w:cs="Times New Roman"/>
          <w:sz w:val="24"/>
          <w:szCs w:val="24"/>
        </w:rPr>
        <w:lastRenderedPageBreak/>
        <w:t>The results showed that harm across relationships was similar with age. Results also showed younger children were more self-oriented with siblings. Results are essential as they give insights into how the two links serve as distinct contexts for sociomoral development.</w:t>
      </w:r>
    </w:p>
    <w:p w14:paraId="2CE69852" w14:textId="77777777" w:rsidR="00AA119B" w:rsidRDefault="00AA119B" w:rsidP="00AA119B">
      <w:pPr>
        <w:spacing w:line="240" w:lineRule="auto"/>
        <w:rPr>
          <w:rFonts w:ascii="Times New Roman" w:hAnsi="Times New Roman" w:cs="Times New Roman"/>
          <w:b/>
          <w:sz w:val="24"/>
          <w:szCs w:val="24"/>
        </w:rPr>
      </w:pPr>
    </w:p>
    <w:p w14:paraId="0F62D0FE" w14:textId="1CA70F53" w:rsidR="00AA119B" w:rsidRPr="00A162FC" w:rsidRDefault="00DF6CB8" w:rsidP="00AA119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Response 3: </w:t>
      </w:r>
      <w:proofErr w:type="spellStart"/>
      <w:r w:rsidR="00AA119B">
        <w:rPr>
          <w:rFonts w:ascii="Times New Roman" w:hAnsi="Times New Roman" w:cs="Times New Roman"/>
          <w:b/>
          <w:sz w:val="24"/>
          <w:szCs w:val="24"/>
        </w:rPr>
        <w:t>Suvisaari</w:t>
      </w:r>
      <w:proofErr w:type="spellEnd"/>
      <w:r w:rsidR="00AA119B">
        <w:rPr>
          <w:rFonts w:ascii="Times New Roman" w:hAnsi="Times New Roman" w:cs="Times New Roman"/>
          <w:b/>
          <w:sz w:val="24"/>
          <w:szCs w:val="24"/>
        </w:rPr>
        <w:t xml:space="preserve">: </w:t>
      </w:r>
      <w:r w:rsidR="00AA119B" w:rsidRPr="00A162FC">
        <w:rPr>
          <w:rFonts w:ascii="Times New Roman" w:hAnsi="Times New Roman" w:cs="Times New Roman"/>
          <w:b/>
          <w:sz w:val="24"/>
          <w:szCs w:val="24"/>
        </w:rPr>
        <w:t>Mental disorders among young adults</w:t>
      </w:r>
    </w:p>
    <w:p w14:paraId="5CF85A0B" w14:textId="77777777" w:rsidR="00AA119B" w:rsidRPr="00F84515" w:rsidRDefault="00AA119B" w:rsidP="00AA119B">
      <w:pPr>
        <w:spacing w:line="240" w:lineRule="auto"/>
        <w:ind w:firstLine="720"/>
        <w:rPr>
          <w:rFonts w:ascii="Times New Roman" w:hAnsi="Times New Roman" w:cs="Times New Roman"/>
          <w:sz w:val="24"/>
          <w:szCs w:val="24"/>
        </w:rPr>
      </w:pPr>
      <w:r w:rsidRPr="00F84515">
        <w:rPr>
          <w:rFonts w:ascii="Times New Roman" w:hAnsi="Times New Roman" w:cs="Times New Roman"/>
          <w:sz w:val="24"/>
          <w:szCs w:val="24"/>
        </w:rPr>
        <w:t xml:space="preserve">Mental disorders are detrimental to young adults of age between 19 years to 34 years. This age is critical in the lifetime of an individual as it involves identification of information, separating from childhood, </w:t>
      </w:r>
      <w:proofErr w:type="gramStart"/>
      <w:r w:rsidRPr="00F84515">
        <w:rPr>
          <w:rFonts w:ascii="Times New Roman" w:hAnsi="Times New Roman" w:cs="Times New Roman"/>
          <w:sz w:val="24"/>
          <w:szCs w:val="24"/>
        </w:rPr>
        <w:t>making a decision</w:t>
      </w:r>
      <w:proofErr w:type="gramEnd"/>
      <w:r w:rsidRPr="00F84515">
        <w:rPr>
          <w:rFonts w:ascii="Times New Roman" w:hAnsi="Times New Roman" w:cs="Times New Roman"/>
          <w:sz w:val="24"/>
          <w:szCs w:val="24"/>
        </w:rPr>
        <w:t xml:space="preserve"> on career and parenthood. As such, mental disorders may hinder psychological, academic, social, and career development of young adults. Researched conducted since 2003 show that DSM-4 has life prevalence among young adults between the ages of 18 years to 29 years. This accounted for 52.4% in 2005. This research also showed 30.2% of the young adults suffer from anxiety, 21.4% suffer from mood changes, while 16.7% are affected by substance abuse disorders.  This research included interviews on substance use anxiety, mood, eating habits. The study also compared the effects of mental disorders in young adults where age, sex, marital status, depressive mood, education, anxiety disorders, and the need for psychiatric treatment were considered. To determine the effects of substance use education; age and treatment contact were used as the determining factors for accessing mental disorders among young adults. Age was grouped from 19-24, 25-29, and 30-34. Education was either high school or below and marital status as either married or cohabiting.  </w:t>
      </w:r>
    </w:p>
    <w:p w14:paraId="3EA3338F" w14:textId="77777777" w:rsidR="00AA119B" w:rsidRPr="00F84515" w:rsidRDefault="00AA119B" w:rsidP="00AA119B">
      <w:pPr>
        <w:spacing w:line="240" w:lineRule="auto"/>
        <w:ind w:firstLine="720"/>
        <w:rPr>
          <w:rFonts w:ascii="Times New Roman" w:hAnsi="Times New Roman" w:cs="Times New Roman"/>
          <w:sz w:val="24"/>
          <w:szCs w:val="24"/>
        </w:rPr>
      </w:pPr>
      <w:r w:rsidRPr="00F84515">
        <w:rPr>
          <w:rFonts w:ascii="Times New Roman" w:hAnsi="Times New Roman" w:cs="Times New Roman"/>
          <w:sz w:val="24"/>
          <w:szCs w:val="24"/>
        </w:rPr>
        <w:t xml:space="preserve">More than 1800 participants, 70.6% returned their Responses. More of those who returned their responses were young women who had completed high school and were non-responders to been treated for any nature of mental disorders. Out of these respondents, there were 821 were screen positive. The baseline was based on the questionnaire screen. Sixty-three of them had hospital treatment for mental problems. The general out came of the research showed that almost 40% of the young adults had at least one Axis mental disorder. Most of these were depressive disorders which accounted for 17.7%. The second one was 14.2% which represented substance abuse, while anxiety disorders accounted for 12.6%. These were common among the oldest, which is 30-34 years. Women were had lower odds of substance abuse but higher odds for depressive life disorders than men. Lifetime depressive disorders had lower odds for married or cohabiting people. Graduated people had lower odds for life stress and substance abuse. This research was based only on the young and thus not reliable for reference. </w:t>
      </w:r>
    </w:p>
    <w:p w14:paraId="3C2117F8" w14:textId="77777777" w:rsidR="00DF6CB8" w:rsidRDefault="00DF6CB8" w:rsidP="00DF6CB8"/>
    <w:p w14:paraId="03B0A2AD" w14:textId="2A5D7D9F" w:rsidR="00DF6CB8" w:rsidRDefault="00DF6CB8" w:rsidP="00DF6CB8"/>
    <w:p w14:paraId="5FA90E22" w14:textId="6F9DF0B9" w:rsidR="00DF6CB8" w:rsidRPr="00DF6CB8" w:rsidRDefault="00DF6CB8" w:rsidP="00DF6CB8">
      <w:pPr>
        <w:rPr>
          <w:b/>
        </w:rPr>
      </w:pPr>
      <w:r>
        <w:rPr>
          <w:b/>
        </w:rPr>
        <w:t xml:space="preserve">Response 4: Erickson: </w:t>
      </w:r>
      <w:r w:rsidRPr="00DF6CB8">
        <w:rPr>
          <w:b/>
        </w:rPr>
        <w:t>Physical activity predicts gray matter volume in late adulthood</w:t>
      </w:r>
    </w:p>
    <w:p w14:paraId="764496D4" w14:textId="1F6513AD" w:rsidR="00DF6CB8" w:rsidRDefault="00DF6CB8" w:rsidP="00DF6CB8">
      <w:r>
        <w:t>The article analysis the association of various physical activities that includes cardiorespiratory fitness and exercise on the gray matter volume in late adulthood. The report concludes that a higher level of cardiorespiratory fitness is continuously associated with more gray matter volume in the prefrontal cortex and hippocampus and low concentration in other parts. We can also provide summaries that physical activities are involved with more gray matter volume in the same part that is involved with cardiorespiratory fitness that includes hippocampus and prefrontal cortex.</w:t>
      </w:r>
    </w:p>
    <w:p w14:paraId="405B2F36" w14:textId="77777777" w:rsidR="00DF6CB8" w:rsidRDefault="00DF6CB8" w:rsidP="00DF6CB8">
      <w:r>
        <w:lastRenderedPageBreak/>
        <w:t xml:space="preserve">The heterogeneity in the review may be discussed by the help of moderation by stress, age, and many other factors. We also have a promising report in the article where random exercise experiment intervention indicated that prefrontal cortex remains pliable and the volume of the hippocampus and responsive to equate tough exercise for six months to one year. Physical activity continues to be a promising technique for affecting gray matter volume in order adults moreover well-research studies are essential to inform general policies about the protective effect of exercise on brain volume. </w:t>
      </w:r>
    </w:p>
    <w:p w14:paraId="052F0F8D" w14:textId="77777777" w:rsidR="00DF6CB8" w:rsidRDefault="00DF6CB8" w:rsidP="00DF6CB8">
      <w:r>
        <w:t xml:space="preserve">The result of the experiment about the physical activity and the brain volume where the overall number of blocks covered in </w:t>
      </w:r>
      <w:proofErr w:type="gramStart"/>
      <w:r>
        <w:t>one week</w:t>
      </w:r>
      <w:proofErr w:type="gramEnd"/>
      <w:r>
        <w:t xml:space="preserve"> ranges from 0 to 300. Having the mean of = 56.3, medium= 25, and SD= 69.7, where the female walked less than the male with negative regression. Next, we analyze the physical activity threshold, where it was done by diving the participant into four groups. The group with the highest gray matter was the last because it was due to consistent in all brain parts that attain importance's regression analysis. </w:t>
      </w:r>
      <w:proofErr w:type="gramStart"/>
      <w:r>
        <w:t>Lastly</w:t>
      </w:r>
      <w:proofErr w:type="gramEnd"/>
      <w:r>
        <w:t xml:space="preserve"> we analysis the physical activity and the risk of cognitive impairment where the sample indicate that n= 299 where 116 are developed, n=64 are dementia while 169 are cognitive rational while 14 died before the follow- up. The analysis suggests that gray volume values in logistics regression where a higher volume of the inferior frontal gyrus was found. In conclusion, participant walking more distances were associated with higher gray matter volume in particular parts, and higher gray matter volume was associated with a few risks having cognitive impairment in last year of older adults.</w:t>
      </w:r>
    </w:p>
    <w:p w14:paraId="1D27BE17" w14:textId="77777777" w:rsidR="00CB6264" w:rsidRDefault="00EE1725" w:rsidP="00AA119B">
      <w:pPr>
        <w:spacing w:line="240" w:lineRule="auto"/>
      </w:pPr>
    </w:p>
    <w:sectPr w:rsidR="00CB6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9B"/>
    <w:rsid w:val="00081924"/>
    <w:rsid w:val="004146F4"/>
    <w:rsid w:val="005B01B3"/>
    <w:rsid w:val="00AA119B"/>
    <w:rsid w:val="00D25E16"/>
    <w:rsid w:val="00D82E4E"/>
    <w:rsid w:val="00DF6CB8"/>
    <w:rsid w:val="00EA4C51"/>
    <w:rsid w:val="00EE17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E6250"/>
  <w15:chartTrackingRefBased/>
  <w15:docId w15:val="{40FF4D71-48AB-BD41-A594-EE8235AE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119B"/>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1278</Words>
  <Characters>6956</Characters>
  <Application>Microsoft Office Word</Application>
  <DocSecurity>0</DocSecurity>
  <Lines>165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Kwan Ting Leung</dc:creator>
  <cp:keywords/>
  <dc:description/>
  <cp:lastModifiedBy>Kwan Ting Leung</cp:lastModifiedBy>
  <cp:revision>1</cp:revision>
  <dcterms:created xsi:type="dcterms:W3CDTF">2019-10-22T18:05:00Z</dcterms:created>
  <dcterms:modified xsi:type="dcterms:W3CDTF">2019-10-22T18:35:00Z</dcterms:modified>
</cp:coreProperties>
</file>